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0F" w:rsidRDefault="005B0312">
      <w:r>
        <w:t xml:space="preserve">CODICE ETICO DI COMPORTAMENTO DELL’ORDINE DELLA PROFESSIONE OSTETRICA DI </w:t>
      </w:r>
      <w:r>
        <w:t>CHIETI</w:t>
      </w:r>
      <w:r>
        <w:t xml:space="preserve"> </w:t>
      </w:r>
    </w:p>
    <w:p w:rsidR="005B0312" w:rsidRDefault="005B0312"/>
    <w:p w:rsidR="005B0312" w:rsidRDefault="005B0312">
      <w:r>
        <w:t>Da realizzare a breve</w:t>
      </w:r>
      <w:bookmarkStart w:id="0" w:name="_GoBack"/>
      <w:bookmarkEnd w:id="0"/>
    </w:p>
    <w:sectPr w:rsidR="005B0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C5"/>
    <w:rsid w:val="005B0312"/>
    <w:rsid w:val="00962B0F"/>
    <w:rsid w:val="00C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46CAC-7363-4455-8611-FBDA80B6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3</cp:revision>
  <dcterms:created xsi:type="dcterms:W3CDTF">2019-09-15T15:48:00Z</dcterms:created>
  <dcterms:modified xsi:type="dcterms:W3CDTF">2019-09-15T15:49:00Z</dcterms:modified>
</cp:coreProperties>
</file>